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 w:val="20"/>
          <w:szCs w:val="20"/>
        </w:rPr>
      </w:pPr>
      <w:r>
        <w:rPr>
          <w:rStyle w:val="6"/>
          <w:rFonts w:ascii="黑体" w:hAnsi="黑体" w:eastAsia="黑体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8"/>
          <w:sz w:val="36"/>
          <w:szCs w:val="36"/>
        </w:rPr>
        <w:t>2022年全国建筑行业职业技能竞赛建筑信息模型技术员（工程管理）决赛版权承诺及授权书</w:t>
      </w:r>
    </w:p>
    <w:p>
      <w:pPr>
        <w:pStyle w:val="2"/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我们承诺参赛队员使用软件（目录及版本序列号见表1）为正版授权软件，对出现的软件版权法律问题负全责。同时，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同意授权本次竞赛组委会使用团队参赛选手的参赛作品，包含在对外活动（包括媒体、出版物、展览、网站等）中使用参赛作品文字、图片、视频等成果。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特此声明。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表1 参赛代表正版软件目录及版本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09"/>
        <w:gridCol w:w="368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  <w:t>软件名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  <w:t>版本号、序列号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25" w:firstLineChars="152"/>
        <w:rPr>
          <w:rFonts w:ascii="仿宋" w:hAnsi="仿宋" w:eastAsia="仿宋"/>
          <w:sz w:val="28"/>
          <w:szCs w:val="28"/>
        </w:rPr>
      </w:pPr>
    </w:p>
    <w:p>
      <w:pPr>
        <w:pStyle w:val="2"/>
      </w:pP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tabs>
          <w:tab w:val="left" w:pos="5540"/>
        </w:tabs>
        <w:spacing w:line="36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>
      <w:pPr>
        <w:tabs>
          <w:tab w:val="left" w:pos="5540"/>
        </w:tabs>
        <w:spacing w:line="36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5762616-9BFE-4850-A0ED-CC7B03A0AC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6473E79-6FBC-4583-9B2A-C7476AAB6D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92755A-8885-454F-8F4C-D2CFB923CC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9AB98F3-DF91-4A8E-9B90-72F4A5332A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14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2022-11-04T09:07:01Z</dcterms:created>
  <dc:creator>yanglinyi</dc:creator>
  <cp:lastModifiedBy>tinykerman</cp:lastModifiedBy>
  <dcterms:modified xsi:type="dcterms:W3CDTF">2022-11-04T09:07:05Z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14531784503E4368A03A5AE7B707B96B</vt:lpwstr>
  </property>
</Properties>
</file>